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A56DB"/>
          <w:sz w:val="36"/>
          <w:szCs w:val="36"/>
        </w:rPr>
        <w:t xml:space="preserve">Vereinbarung zur Auftragsverarbeitung</w:t>
      </w:r>
    </w:p>
    <w:p>
      <w:pPr>
        <w:spacing w:after="240"/>
      </w:pPr>
      <w:r>
        <w:rPr>
          <w:sz w:val="26"/>
          <w:szCs w:val="26"/>
        </w:rPr>
        <w:t xml:space="preserve">gemäß Art. 28 DSGVO</w:t>
      </w:r>
    </w:p>
    <w:p>
      <w:pPr>
        <w:spacing w:after="120"/>
      </w:pPr>
      <w:r>
        <w:rPr>
          <w:i/>
          <w:iCs/>
        </w:rPr>
        <w:t xml:space="preserve">zwischen dem nachstehenden Auftraggeber und dem Auftragnehmer (AX1S / AIGOY). Diese Vereinbarung konkretisiert die datenschutzrechtlichen Pflichten der Parteien im Rahmen der Nutzung der AIGOY-Plattform und ergänzt den zugrunde liegenden Hauptvertrag.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1"/>
              <w:left w:val="single" w:color="CCCCCC" w:sz="1"/>
              <w:bottom w:val="single" w:color="CCCCCC" w:sz="1"/>
              <w:right w:val="single" w:color="CCCCCC" w:sz="1"/>
            </w:tcBorders>
            <w:shd w:fill="EEF2FB" w:val="clear"/>
            <w:tcMar>
              <w:top w:type="dxa" w:w="80"/>
              <w:left w:type="dxa" w:w="120"/>
              <w:bottom w:type="dxa" w:w="80"/>
              <w:right w:type="dxa" w:w="120"/>
            </w:tcMar>
          </w:tcPr>
          <w:p>
            <w:r>
              <w:rPr>
                <w:b/>
                <w:bCs/>
                <w:sz w:val="20"/>
                <w:szCs w:val="20"/>
              </w:rPr>
              <w:t xml:space="preserve">Auftraggeber (Verantwortlicher)</w:t>
            </w:r>
          </w:p>
        </w:tc>
        <w:tc>
          <w:tcPr>
            <w:tcW w:type="dxa" w:w="4513"/>
            <w:tcBorders>
              <w:top w:val="single" w:color="CCCCCC" w:sz="1"/>
              <w:left w:val="single" w:color="CCCCCC" w:sz="1"/>
              <w:bottom w:val="single" w:color="CCCCCC" w:sz="1"/>
              <w:right w:val="single" w:color="CCCCCC" w:sz="1"/>
            </w:tcBorders>
            <w:shd w:fill="EEF2FB" w:val="clear"/>
            <w:tcMar>
              <w:top w:type="dxa" w:w="80"/>
              <w:left w:type="dxa" w:w="120"/>
              <w:bottom w:type="dxa" w:w="80"/>
              <w:right w:type="dxa" w:w="120"/>
            </w:tcMar>
          </w:tcPr>
          <w:p>
            <w:r>
              <w:rPr>
                <w:b/>
                <w:bCs/>
                <w:sz w:val="20"/>
                <w:szCs w:val="20"/>
              </w:rPr>
              <w:t xml:space="preserve">Auftragnehmer (Auftragsverarbeiter)</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pPr>
            <w:r>
              <w:t xml:space="preserve">[Firma / Name]</w:t>
            </w:r>
          </w:p>
          <w:p>
            <w:pPr>
              <w:spacing w:after="120"/>
            </w:pPr>
            <w:r>
              <w:t xml:space="preserve">[Straße, Nr.]</w:t>
            </w:r>
          </w:p>
          <w:p>
            <w:pPr>
              <w:spacing w:after="120"/>
            </w:pPr>
            <w:r>
              <w:t xml:space="preserve">[PLZ, Ort]</w:t>
            </w:r>
          </w:p>
          <w:p>
            <w:pPr>
              <w:spacing w:after="120"/>
            </w:pPr>
            <w:r>
              <w:t xml:space="preserve">[Land]</w:t>
            </w:r>
          </w:p>
          <w:p>
            <w:pPr>
              <w:spacing w:after="120"/>
            </w:pPr>
            <w:r>
              <w:t xml:space="preserve">vertreten durch: [Name]</w:t>
            </w:r>
          </w:p>
          <w:p>
            <w:pPr>
              <w:spacing w:after="120"/>
            </w:pPr>
            <w:r>
              <w:t xml:space="preserve">nachfolgend „Auftraggeber“</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120"/>
            </w:pPr>
            <w:r>
              <w:t xml:space="preserve">Thomas Brandt, Einzelunternehmer</w:t>
            </w:r>
          </w:p>
          <w:p>
            <w:pPr>
              <w:spacing w:after="120"/>
            </w:pPr>
            <w:r>
              <w:t xml:space="preserve">handelnd unter der Marke AX1S / AIGOY</w:t>
            </w:r>
          </w:p>
          <w:p>
            <w:pPr>
              <w:spacing w:after="120"/>
            </w:pPr>
            <w:r>
              <w:t xml:space="preserve">AX1S c/o Clevver, Winterhuder Weg 29</w:t>
            </w:r>
          </w:p>
          <w:p>
            <w:pPr>
              <w:spacing w:after="120"/>
            </w:pPr>
            <w:r>
              <w:t xml:space="preserve">22085 Hamburg, Deutschland</w:t>
            </w:r>
          </w:p>
          <w:p>
            <w:pPr>
              <w:spacing w:after="120"/>
            </w:pPr>
            <w:r>
              <w:t xml:space="preserve">nachfolgend „Auftragnehmer“</w:t>
            </w:r>
          </w:p>
        </w:tc>
      </w:tr>
    </w:tbl>
    <w:p>
      <w:pPr>
        <w:spacing w:after="120" w:before="200"/>
      </w:pPr>
      <w:r>
        <w:rPr>
          <w:b/>
          <w:bCs/>
          <w:sz w:val="22"/>
          <w:szCs w:val="22"/>
        </w:rPr>
        <w:t xml:space="preserve">Inhaltsübersicht</w:t>
      </w:r>
    </w:p>
    <w:sdt>
      <w:sdtPr>
        <w:alias w:val="Inhalt"/>
      </w:sdtPr>
      <w:sdtContent>
        <w:p>
          <w:r>
            <w:fldChar w:fldCharType="begin" w:dirty="true"/>
            <w:instrText xml:space="preserve">TOC \h \o "1-1"</w:instrText>
            <w:fldChar w:fldCharType="separate"/>
          </w:r>
        </w:p>
        <w:p>
          <w:r>
            <w:fldChar w:fldCharType="end"/>
          </w:r>
        </w:p>
      </w:sdtContent>
    </w:sdt>
    <w:p>
      <w:pPr>
        <w:pStyle w:val="Heading1"/>
      </w:pPr>
      <w:r>
        <w:t xml:space="preserve">§ 1 Gegenstand und Dauer</w:t>
      </w:r>
    </w:p>
    <w:p>
      <w:pPr>
        <w:spacing w:after="120"/>
      </w:pPr>
      <w:r>
        <w:t xml:space="preserve">Gegenstand der Vereinbarung ist die Verarbeitung personenbezogener Daten durch den Auftragnehmer im Auftrag des Auftraggebers im Rahmen der Bereitstellung der AIGOY-Plattform (AI Governance, Risk &amp; Compliance). Die Laufzeit entspricht der Laufzeit des Hauptvertrags; sie endet mit dessen Beendigung. Kündigungsrechte des Hauptvertrags bleiben unberührt.</w:t>
      </w:r>
    </w:p>
    <w:p>
      <w:pPr>
        <w:pStyle w:val="Heading1"/>
      </w:pPr>
      <w:r>
        <w:t xml:space="preserve">§ 2 Art, Umfang und Zweck der Verarbeitung</w:t>
      </w:r>
    </w:p>
    <w:p>
      <w:pPr>
        <w:spacing w:after="120"/>
      </w:pPr>
      <w:r>
        <w:t xml:space="preserve">Art und Zweck der Verarbeitung: Bereitstellung der AIGOY-Plattform und ihrer Module (u. a. KI-Inventar, Risk Management, Policy Management, Compliance Reporting, Board Portal, Training Hub, Whistleblowing) sowie KI-gestützte Vorbereitung von Richtlinien und Risikobewertungen durch den Compliance-CoWorker „Felix“ im Vier-Augen-Prinzip. Die Verarbeitung erfolgt ausschließlich zur Erbringung der vertraglich vereinbarten Leistungen und auf dokumentierte Weisung des Auftraggebers.</w:t>
      </w:r>
    </w:p>
    <w:p>
      <w:pPr>
        <w:pStyle w:val="Heading1"/>
      </w:pPr>
      <w:r>
        <w:t xml:space="preserve">§ 3 Art der Daten und Kategorien betroffener Personen</w:t>
      </w:r>
    </w:p>
    <w:p>
      <w:pPr>
        <w:spacing w:after="120"/>
      </w:pPr>
      <w:r>
        <w:t xml:space="preserve">Art der personenbezogenen Daten (typisch):</w:t>
      </w:r>
    </w:p>
    <w:p>
      <w:pPr>
        <w:pStyle w:val="ListParagraph"/>
        <w:numPr>
          <w:ilvl w:val="0"/>
          <w:numId w:val="2"/>
        </w:numPr>
        <w:spacing w:after="60"/>
      </w:pPr>
      <w:r>
        <w:t xml:space="preserve">Stammdaten / Kontaktdaten (Name, dienstliche E-Mail, Abteilung, Rolle)</w:t>
      </w:r>
    </w:p>
    <w:p>
      <w:pPr>
        <w:pStyle w:val="ListParagraph"/>
        <w:numPr>
          <w:ilvl w:val="0"/>
          <w:numId w:val="2"/>
        </w:numPr>
        <w:spacing w:after="60"/>
      </w:pPr>
      <w:r>
        <w:t xml:space="preserve">Authentifizierungsdaten (verschlüsseltes Passwort, Login-Zeitstempel, Session-Token)</w:t>
      </w:r>
    </w:p>
    <w:p>
      <w:pPr>
        <w:pStyle w:val="ListParagraph"/>
        <w:numPr>
          <w:ilvl w:val="0"/>
          <w:numId w:val="2"/>
        </w:numPr>
        <w:spacing w:after="60"/>
      </w:pPr>
      <w:r>
        <w:t xml:space="preserve">Nutzungs- und Protokolldaten der Plattform (inkl. Audit-Trail)</w:t>
      </w:r>
    </w:p>
    <w:p>
      <w:pPr>
        <w:pStyle w:val="ListParagraph"/>
        <w:numPr>
          <w:ilvl w:val="0"/>
          <w:numId w:val="2"/>
        </w:numPr>
        <w:spacing w:after="60"/>
      </w:pPr>
      <w:r>
        <w:t xml:space="preserve">Schulungs-/Kompetenzdaten (Modulfortschritt, Nachweise)</w:t>
      </w:r>
    </w:p>
    <w:p>
      <w:pPr>
        <w:pStyle w:val="ListParagraph"/>
        <w:numPr>
          <w:ilvl w:val="0"/>
          <w:numId w:val="2"/>
        </w:numPr>
        <w:spacing w:after="60"/>
      </w:pPr>
      <w:r>
        <w:t xml:space="preserve">vom Auftraggeber eingestellte Inhaltsdaten (z. B. Richtlinien, Risiken, Meldungen)</w:t>
      </w:r>
    </w:p>
    <w:p>
      <w:pPr>
        <w:spacing w:after="120"/>
      </w:pPr>
      <w:r>
        <w:t xml:space="preserve">Kategorien betroffener Personen (typisch): Beschäftigte, Führungskräfte und Organe des Auftraggebers, Nutzer der Plattform sowie ggf. Dritte, deren Daten der Auftraggeber im Rahmen seiner Compliance-Prozesse einstellt.</w:t>
      </w:r>
    </w:p>
    <w:p>
      <w:pPr>
        <w:spacing w:after="120"/>
      </w:pPr>
      <w:r>
        <w:t xml:space="preserve">Besondere Kategorien personenbezogener Daten (Art. 9 DSGVO) sind nicht Gegenstand der vertragsgemäßen Nutzung; ihre Einstellung obliegt allein dem Auftraggeber und ist zu vermeiden, soweit nicht ausdrücklich vereinbart.</w:t>
      </w:r>
    </w:p>
    <w:p>
      <w:pPr>
        <w:pStyle w:val="Heading1"/>
      </w:pPr>
      <w:r>
        <w:t xml:space="preserve">§ 4 Pflichten des Auftragnehmers</w:t>
      </w:r>
    </w:p>
    <w:p>
      <w:pPr>
        <w:spacing w:after="120"/>
      </w:pPr>
      <w:r>
        <w:t xml:space="preserve">Der Auftragnehmer verpflichtet sich gemäß Art. 28 Abs. 3 DSGVO insbesondere:</w:t>
      </w:r>
    </w:p>
    <w:p>
      <w:pPr>
        <w:pStyle w:val="ListParagraph"/>
        <w:numPr>
          <w:ilvl w:val="0"/>
          <w:numId w:val="3"/>
        </w:numPr>
        <w:spacing w:after="80"/>
      </w:pPr>
      <w:r>
        <w:t xml:space="preserve">Daten ausschließlich auf dokumentierte Weisung des Auftraggebers zu verarbeiten; dies gilt auch für Drittlandübermittlungen, soweit nicht eine rechtliche Verpflichtung besteht.</w:t>
      </w:r>
    </w:p>
    <w:p>
      <w:pPr>
        <w:pStyle w:val="ListParagraph"/>
        <w:numPr>
          <w:ilvl w:val="0"/>
          <w:numId w:val="3"/>
        </w:numPr>
        <w:spacing w:after="80"/>
      </w:pPr>
      <w:r>
        <w:t xml:space="preserve">die zur Verarbeitung befugten Personen auf Vertraulichkeit zu verpflichten bzw. eine gesetzliche Verschwiegenheit sicherzustellen.</w:t>
      </w:r>
    </w:p>
    <w:p>
      <w:pPr>
        <w:pStyle w:val="ListParagraph"/>
        <w:numPr>
          <w:ilvl w:val="0"/>
          <w:numId w:val="3"/>
        </w:numPr>
        <w:spacing w:after="80"/>
      </w:pPr>
      <w:r>
        <w:t xml:space="preserve">die nach Art. 32 DSGVO erforderlichen technischen und organisatorischen Maßnahmen umzusetzen (Anlage 1).</w:t>
      </w:r>
    </w:p>
    <w:p>
      <w:pPr>
        <w:pStyle w:val="ListParagraph"/>
        <w:numPr>
          <w:ilvl w:val="0"/>
          <w:numId w:val="3"/>
        </w:numPr>
        <w:spacing w:after="80"/>
      </w:pPr>
      <w:r>
        <w:t xml:space="preserve">die Bedingungen für die Inanspruchnahme weiterer Auftragsverarbeiter (Art. 28 Abs. 2 und 4 DSGVO) einzuhalten (§ 6, Anlage 2).</w:t>
      </w:r>
    </w:p>
    <w:p>
      <w:pPr>
        <w:pStyle w:val="ListParagraph"/>
        <w:numPr>
          <w:ilvl w:val="0"/>
          <w:numId w:val="3"/>
        </w:numPr>
        <w:spacing w:after="80"/>
      </w:pPr>
      <w:r>
        <w:t xml:space="preserve">den Auftraggeber mit geeigneten Maßnahmen bei der Erfüllung der Betroffenenrechte (Art. 12–23 DSGVO) zu unterstützen.</w:t>
      </w:r>
    </w:p>
    <w:p>
      <w:pPr>
        <w:pStyle w:val="ListParagraph"/>
        <w:numPr>
          <w:ilvl w:val="0"/>
          <w:numId w:val="3"/>
        </w:numPr>
        <w:spacing w:after="80"/>
      </w:pPr>
      <w:r>
        <w:t xml:space="preserve">den Auftraggeber bei der Einhaltung der Pflichten aus Art. 32–36 DSGVO zu unterstützen (Sicherheit, Meldung von Verletzungen, Datenschutz-Folgenabschätzung).</w:t>
      </w:r>
    </w:p>
    <w:p>
      <w:pPr>
        <w:pStyle w:val="ListParagraph"/>
        <w:numPr>
          <w:ilvl w:val="0"/>
          <w:numId w:val="3"/>
        </w:numPr>
        <w:spacing w:after="80"/>
      </w:pPr>
      <w:r>
        <w:t xml:space="preserve">personenbezogene Daten nach Abschluss der Verarbeitung nach Wahl des Auftraggebers zu löschen oder zurückzugeben (§ 10).</w:t>
      </w:r>
    </w:p>
    <w:p>
      <w:pPr>
        <w:pStyle w:val="ListParagraph"/>
        <w:numPr>
          <w:ilvl w:val="0"/>
          <w:numId w:val="3"/>
        </w:numPr>
        <w:spacing w:after="80"/>
      </w:pPr>
      <w:r>
        <w:t xml:space="preserve">dem Auftraggeber alle erforderlichen Informationen zum Nachweis der Einhaltung der Pflichten zur Verfügung zu stellen und Überprüfungen zu ermöglichen (§ 9).</w:t>
      </w:r>
    </w:p>
    <w:p>
      <w:pPr>
        <w:pStyle w:val="Heading1"/>
      </w:pPr>
      <w:r>
        <w:t xml:space="preserve">§ 5 Technische und organisatorische Maßnahmen (TOM)</w:t>
      </w:r>
    </w:p>
    <w:p>
      <w:pPr>
        <w:spacing w:after="120"/>
      </w:pPr>
      <w:r>
        <w:t xml:space="preserve">Der Auftragnehmer trifft die in Anlage 1 beschriebenen technischen und organisatorischen Maßnahmen gemäß Art. 32 DSGVO. Die Maßnahmen unterliegen dem technischen Fortschritt; der Auftragnehmer darf sie anpassen, sofern das Schutzniveau nicht unterschritten wird.</w:t>
      </w:r>
    </w:p>
    <w:p>
      <w:pPr>
        <w:pStyle w:val="Heading1"/>
      </w:pPr>
      <w:r>
        <w:t xml:space="preserve">§ 6 Unterauftragsverarbeiter</w:t>
      </w:r>
    </w:p>
    <w:p>
      <w:pPr>
        <w:spacing w:after="120"/>
      </w:pPr>
      <w:r>
        <w:t xml:space="preserve">Der Auftraggeber erteilt eine allgemeine Genehmigung zur Hinzuziehung der in Anlage 2 genannten Unterauftragsverarbeiter. Der Auftragnehmer schließt mit diesen Verträge nach Art. 28 DSGVO mit gleichwertigen Pflichten. Beabsichtigte Änderungen (Hinzuziehung/Ersetzung) teilt der Auftragnehmer rechtzeitig mit; der Auftraggeber kann aus wichtigem datenschutzrechtlichem Grund widersprechen. Für Drittlandübermittlungen gelten geeignete Garantien (Standardvertragsklauseln gemäß Art. 46 Abs. 2 lit. c DSGVO bzw. EU-U.S. Data Privacy Framework).</w:t>
      </w:r>
    </w:p>
    <w:p>
      <w:pPr>
        <w:pStyle w:val="Heading1"/>
      </w:pPr>
      <w:r>
        <w:t xml:space="preserve">§ 7 Rechte der betroffenen Personen</w:t>
      </w:r>
    </w:p>
    <w:p>
      <w:pPr>
        <w:spacing w:after="120"/>
      </w:pPr>
      <w:r>
        <w:t xml:space="preserve">Der Auftragnehmer unterstützt den Auftraggeber im Rahmen des Möglichen bei der Beantwortung von Anträgen betroffener Personen (Auskunft, Berichtigung, Löschung, Einschränkung, Datenübertragbarkeit, Widerspruch). Richtet sich eine betroffene Person unmittelbar an den Auftragnehmer, leitet dieser das Anliegen unverzüglich an den Auftraggeber weiter.</w:t>
      </w:r>
    </w:p>
    <w:p>
      <w:pPr>
        <w:pStyle w:val="Heading1"/>
      </w:pPr>
      <w:r>
        <w:t xml:space="preserve">§ 8 Meldung von Verletzungen des Schutzes personenbezogener Daten</w:t>
      </w:r>
    </w:p>
    <w:p>
      <w:pPr>
        <w:spacing w:after="120"/>
      </w:pPr>
      <w:r>
        <w:t xml:space="preserve">Der Auftragnehmer meldet dem Auftraggeber Verletzungen des Schutzes personenbezogener Daten unverzüglich nach Bekanntwerden mit den nach Art. 33 DSGVO erforderlichen Informationen, damit der Auftraggeber seinen Melde- und Benachrichtigungspflichten (Art. 33, 34 DSGVO) nachkommen kann.</w:t>
      </w:r>
    </w:p>
    <w:p>
      <w:pPr>
        <w:pStyle w:val="Heading1"/>
      </w:pPr>
      <w:r>
        <w:t xml:space="preserve">§ 9 Kontroll- und Nachweisrechte</w:t>
      </w:r>
    </w:p>
    <w:p>
      <w:pPr>
        <w:spacing w:after="120"/>
      </w:pPr>
      <w:r>
        <w:t xml:space="preserve">Der Auftragnehmer weist die Einhaltung der vereinbarten Pflichten auf Anfrage nach – vorrangig durch geeignete Nachweise (z. B. aktuelle Zertifikate/Testate wie SOC 2 Type II der eingesetzten Infrastruktur, Auditberichte, Dokumentation der TOM). Soweit erforderlich, ermöglicht er Überprüfungen durch den Auftraggeber oder einen beauftragten Prüfer mit angemessener Vorankündigung und ohne unverhältnismäßige Betriebsstörung.</w:t>
      </w:r>
    </w:p>
    <w:p>
      <w:pPr>
        <w:pStyle w:val="Heading1"/>
      </w:pPr>
      <w:r>
        <w:t xml:space="preserve">§ 10 Löschung und Rückgabe</w:t>
      </w:r>
    </w:p>
    <w:p>
      <w:pPr>
        <w:spacing w:after="120"/>
      </w:pPr>
      <w:r>
        <w:t xml:space="preserve">Nach Beendigung der Verarbeitung löscht oder übergibt der Auftragnehmer nach Wahl des Auftraggebers alle personenbezogenen Daten und vernichtet vorhandene Kopien, sofern keine gesetzliche Aufbewahrungspflicht besteht. Auf Wunsch wird die Löschung bestätigt.</w:t>
      </w:r>
    </w:p>
    <w:p>
      <w:pPr>
        <w:pStyle w:val="Heading1"/>
      </w:pPr>
      <w:r>
        <w:t xml:space="preserve">§ 11 Haftung</w:t>
      </w:r>
    </w:p>
    <w:p>
      <w:pPr>
        <w:spacing w:after="120"/>
      </w:pPr>
      <w:r>
        <w:t xml:space="preserve">Die Haftung richtet sich nach Art. 82 DSGVO und den Bestimmungen des Hauptvertrags. Im Innenverhältnis haftet jede Partei für die ihr zuzurechnenden Verstöße.</w:t>
      </w:r>
    </w:p>
    <w:p>
      <w:pPr>
        <w:pStyle w:val="Heading1"/>
      </w:pPr>
      <w:r>
        <w:t xml:space="preserve">§ 12 Schlussbestimmungen</w:t>
      </w:r>
    </w:p>
    <w:p>
      <w:pPr>
        <w:spacing w:after="120"/>
      </w:pPr>
      <w:r>
        <w:t xml:space="preserve">Änderungen und Ergänzungen bedürfen der Textform. Bei Widersprüchen zwischen dieser Vereinbarung und dem Hauptvertrag gehen die datenschutzrechtlichen Regelungen dieser Vereinbarung vor. Sollten einzelne Bestimmungen unwirksam sein, bleibt die Wirksamkeit der übrigen unberührt. Es gilt deutsches Recht.</w:t>
      </w:r>
    </w:p>
    <w:p>
      <w:pPr>
        <w:spacing w:after="240" w:before="360"/>
      </w:pPr>
      <w:r>
        <w:rPr>
          <w:b/>
          <w:bCs/>
          <w:sz w:val="22"/>
          <w:szCs w:val="22"/>
        </w:rPr>
        <w:t xml:space="preserve">Unterschriften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tcBorders>
            <w:tcMar>
              <w:top w:type="dxa" w:w="600"/>
              <w:left w:type="dxa" w:w="120"/>
              <w:bottom w:type="dxa" w:w="40"/>
              <w:right w:type="dxa" w:w="120"/>
            </w:tcMar>
          </w:tcPr>
          <w:p>
            <w:pPr>
              <w:spacing w:after="120"/>
            </w:pPr>
            <w:r>
              <w:t xml:space="preserve">Ort, Datum – Auftraggeber</w:t>
            </w:r>
          </w:p>
          <w:p>
            <w:pPr>
              <w:spacing w:after="120"/>
            </w:pPr>
            <w:r>
              <w:t xml:space="preserve">Name / Funktion</w:t>
            </w:r>
          </w:p>
        </w:tc>
        <w:tc>
          <w:tcPr>
            <w:tcW w:type="dxa" w:w="4513"/>
            <w:tcBorders>
              <w:top w:val="single" w:color="CCCCCC" w:sz="1"/>
            </w:tcBorders>
            <w:tcMar>
              <w:top w:type="dxa" w:w="600"/>
              <w:left w:type="dxa" w:w="120"/>
              <w:bottom w:type="dxa" w:w="40"/>
              <w:right w:type="dxa" w:w="120"/>
            </w:tcMar>
          </w:tcPr>
          <w:p>
            <w:pPr>
              <w:spacing w:after="120"/>
            </w:pPr>
            <w:r>
              <w:t xml:space="preserve">Ort, Datum – Auftragnehmer (AX1S / AIGOY)</w:t>
            </w:r>
          </w:p>
          <w:p>
            <w:pPr>
              <w:spacing w:after="120"/>
            </w:pPr>
            <w:r>
              <w:t xml:space="preserve">Thomas Brandt</w:t>
            </w:r>
          </w:p>
        </w:tc>
      </w:tr>
    </w:tbl>
    <w:p>
      <w:pPr>
        <w:pStyle w:val="Heading1"/>
        <w:pageBreakBefore/>
      </w:pPr>
      <w:r>
        <w:t xml:space="preserve">Anlage 1 – Technische und organisatorische Maßnahmen (Art. 32 DSGVO)</w:t>
      </w:r>
    </w:p>
    <w:p>
      <w:pPr>
        <w:spacing w:after="120"/>
      </w:pPr>
      <w:r>
        <w:t xml:space="preserve">AIGOY ist in Deutschland entwickelt, wird in Deutschland gehostet und aus Deutschland betreut. Die folgenden Maßnahmen werden umgesetzt: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rPr>
          <w:tblHeader/>
        </w:trPr>
        <w:tc>
          <w:tcPr>
            <w:tcW w:type="dxa" w:w="2800"/>
            <w:tcBorders>
              <w:top w:val="single" w:color="CCCCCC" w:sz="1"/>
              <w:left w:val="single" w:color="CCCCCC" w:sz="1"/>
              <w:bottom w:val="single" w:color="CCCCCC" w:sz="1"/>
              <w:right w:val="single" w:color="CCCCCC" w:sz="1"/>
            </w:tcBorders>
            <w:shd w:fill="EEF2FB" w:val="clear"/>
            <w:tcMar>
              <w:top w:type="dxa" w:w="80"/>
              <w:left w:type="dxa" w:w="120"/>
              <w:bottom w:type="dxa" w:w="80"/>
              <w:right w:type="dxa" w:w="120"/>
            </w:tcMar>
          </w:tcPr>
          <w:p>
            <w:r>
              <w:rPr>
                <w:b/>
                <w:bCs/>
                <w:sz w:val="20"/>
                <w:szCs w:val="20"/>
              </w:rPr>
              <w:t xml:space="preserve">Schutzziel</w:t>
            </w:r>
          </w:p>
        </w:tc>
        <w:tc>
          <w:tcPr>
            <w:tcW w:type="dxa" w:w="6226"/>
            <w:tcBorders>
              <w:top w:val="single" w:color="CCCCCC" w:sz="1"/>
              <w:left w:val="single" w:color="CCCCCC" w:sz="1"/>
              <w:bottom w:val="single" w:color="CCCCCC" w:sz="1"/>
              <w:right w:val="single" w:color="CCCCCC" w:sz="1"/>
            </w:tcBorders>
            <w:shd w:fill="EEF2FB" w:val="clear"/>
            <w:tcMar>
              <w:top w:type="dxa" w:w="80"/>
              <w:left w:type="dxa" w:w="120"/>
              <w:bottom w:type="dxa" w:w="80"/>
              <w:right w:type="dxa" w:w="120"/>
            </w:tcMar>
          </w:tcPr>
          <w:p>
            <w:r>
              <w:rPr>
                <w:b/>
                <w:bCs/>
                <w:sz w:val="20"/>
                <w:szCs w:val="20"/>
              </w:rPr>
              <w:t xml:space="preserve">Maßnahme</w:t>
            </w:r>
          </w:p>
        </w:tc>
      </w:tr>
      <w:tr>
        <w:trPr>
          <w:tblHeader w:val="false"/>
        </w:trP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Vertraulichkeit</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Verschlüsselung in Transit (TLS 1.2+) und at Rest (AES-256); Row Level Security (RLS) – Nutzer sehen ausschließlich eigene/mandantenbezogene Daten; rollenbasierte Zugriffe nach Least-Privilege.</w:t>
            </w:r>
          </w:p>
        </w:tc>
      </w:tr>
      <w:tr>
        <w:trPr>
          <w:tblHeader w:val="false"/>
        </w:trP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Integrität</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INSERT-only Audit-Trail (unveränderliches Protokoll); Vier-Augen-Approval-Cockpit – jede schreibende Aktion des KI-CoWorkers wird erst nach Freigabe durch eine berechtigte Person wirksam.</w:t>
            </w:r>
          </w:p>
        </w:tc>
      </w:tr>
      <w:tr>
        <w:trPr>
          <w:tblHeader w:val="false"/>
        </w:trP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Verfügbarkeit &amp; Belastbarkeit</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Regelmäßige Backups innerhalb der EU-Region; verwaltete, gehärtete Infrastruktur (Supabase / AWS eu-central-1 Frankfurt, SOC 2 Type II).</w:t>
            </w:r>
          </w:p>
        </w:tc>
      </w:tr>
      <w:tr>
        <w:trPr>
          <w:tblHeader w:val="false"/>
        </w:trP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Datenresidenz</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Verarbeitung und Speicherung personenbezogener Daten in der EU (Frankfurt / Deutschland). KI-Inferenz: keine Nutzung der Daten zu Trainingszwecken; EU-Inferenz (AWS Bedrock Frankfurt) in Vorbereitung.</w:t>
            </w:r>
          </w:p>
        </w:tc>
      </w:tr>
      <w:tr>
        <w:trPr>
          <w:tblHeader w:val="false"/>
        </w:trP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Trennung &amp; Mandantenfähigkeit</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Logische Mandantentrennung (tenant_id) mit durchgesetzter RLS auf Datenbankebene.</w:t>
            </w:r>
          </w:p>
        </w:tc>
      </w:tr>
      <w:tr>
        <w:trPr>
          <w:tblHeader w:val="false"/>
        </w:trP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Auftragskontrolle</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Verträge zur Auftragsverarbeitung (Art. 28 DSGVO) mit allen Unterauftragsverarbeitern; SCC/DPF für Drittlandbezug.</w:t>
            </w:r>
          </w:p>
        </w:tc>
      </w:tr>
    </w:tbl>
    <w:p>
      <w:pPr>
        <w:pStyle w:val="Heading1"/>
        <w:pageBreakBefore/>
      </w:pPr>
      <w:r>
        <w:t xml:space="preserve">Anlage 2 – Genehmigte Unterauftragsverarbeiter</w:t>
      </w:r>
    </w:p>
    <w:p>
      <w:pPr>
        <w:spacing w:after="120"/>
      </w:pPr>
      <w:r>
        <w:t xml:space="preserve">Der Auftraggeber genehmigt die Hinzuziehung der folgenden Unterauftragsverarbeiter. Eine jeweils aktuelle Fassung wird auf der Trust-/Sicherheitsseite veröffentlicht.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300"/>
        <w:gridCol w:w="2100"/>
        <w:gridCol w:w="2626"/>
        <w:gridCol w:w="2000"/>
      </w:tblGrid>
      <w:tr>
        <w:trPr>
          <w:tblHeader/>
        </w:trPr>
        <w:tc>
          <w:tcPr>
            <w:tcW w:type="dxa" w:w="2300"/>
            <w:tcBorders>
              <w:top w:val="single" w:color="CCCCCC" w:sz="1"/>
              <w:left w:val="single" w:color="CCCCCC" w:sz="1"/>
              <w:bottom w:val="single" w:color="CCCCCC" w:sz="1"/>
              <w:right w:val="single" w:color="CCCCCC" w:sz="1"/>
            </w:tcBorders>
            <w:shd w:fill="EEF2FB" w:val="clear"/>
            <w:tcMar>
              <w:top w:type="dxa" w:w="80"/>
              <w:left w:type="dxa" w:w="120"/>
              <w:bottom w:type="dxa" w:w="80"/>
              <w:right w:type="dxa" w:w="120"/>
            </w:tcMar>
          </w:tcPr>
          <w:p>
            <w:r>
              <w:rPr>
                <w:b/>
                <w:bCs/>
                <w:sz w:val="20"/>
                <w:szCs w:val="20"/>
              </w:rPr>
              <w:t xml:space="preserve">Unterauftragsverarbeiter</w:t>
            </w:r>
          </w:p>
        </w:tc>
        <w:tc>
          <w:tcPr>
            <w:tcW w:type="dxa" w:w="2100"/>
            <w:tcBorders>
              <w:top w:val="single" w:color="CCCCCC" w:sz="1"/>
              <w:left w:val="single" w:color="CCCCCC" w:sz="1"/>
              <w:bottom w:val="single" w:color="CCCCCC" w:sz="1"/>
              <w:right w:val="single" w:color="CCCCCC" w:sz="1"/>
            </w:tcBorders>
            <w:shd w:fill="EEF2FB" w:val="clear"/>
            <w:tcMar>
              <w:top w:type="dxa" w:w="80"/>
              <w:left w:type="dxa" w:w="120"/>
              <w:bottom w:type="dxa" w:w="80"/>
              <w:right w:type="dxa" w:w="120"/>
            </w:tcMar>
          </w:tcPr>
          <w:p>
            <w:r>
              <w:rPr>
                <w:b/>
                <w:bCs/>
                <w:sz w:val="20"/>
                <w:szCs w:val="20"/>
              </w:rPr>
              <w:t xml:space="preserve">Standort</w:t>
            </w:r>
          </w:p>
        </w:tc>
        <w:tc>
          <w:tcPr>
            <w:tcW w:type="dxa" w:w="2626"/>
            <w:tcBorders>
              <w:top w:val="single" w:color="CCCCCC" w:sz="1"/>
              <w:left w:val="single" w:color="CCCCCC" w:sz="1"/>
              <w:bottom w:val="single" w:color="CCCCCC" w:sz="1"/>
              <w:right w:val="single" w:color="CCCCCC" w:sz="1"/>
            </w:tcBorders>
            <w:shd w:fill="EEF2FB" w:val="clear"/>
            <w:tcMar>
              <w:top w:type="dxa" w:w="80"/>
              <w:left w:type="dxa" w:w="120"/>
              <w:bottom w:type="dxa" w:w="80"/>
              <w:right w:type="dxa" w:w="120"/>
            </w:tcMar>
          </w:tcPr>
          <w:p>
            <w:r>
              <w:rPr>
                <w:b/>
                <w:bCs/>
                <w:sz w:val="20"/>
                <w:szCs w:val="20"/>
              </w:rPr>
              <w:t xml:space="preserve">Leistung / Zweck</w:t>
            </w:r>
          </w:p>
        </w:tc>
        <w:tc>
          <w:tcPr>
            <w:tcW w:type="dxa" w:w="2000"/>
            <w:tcBorders>
              <w:top w:val="single" w:color="CCCCCC" w:sz="1"/>
              <w:left w:val="single" w:color="CCCCCC" w:sz="1"/>
              <w:bottom w:val="single" w:color="CCCCCC" w:sz="1"/>
              <w:right w:val="single" w:color="CCCCCC" w:sz="1"/>
            </w:tcBorders>
            <w:shd w:fill="EEF2FB" w:val="clear"/>
            <w:tcMar>
              <w:top w:type="dxa" w:w="80"/>
              <w:left w:type="dxa" w:w="120"/>
              <w:bottom w:type="dxa" w:w="80"/>
              <w:right w:type="dxa" w:w="120"/>
            </w:tcMar>
          </w:tcPr>
          <w:p>
            <w:r>
              <w:rPr>
                <w:b/>
                <w:bCs/>
                <w:sz w:val="20"/>
                <w:szCs w:val="20"/>
              </w:rPr>
              <w:t xml:space="preserve">Hinweis</w:t>
            </w:r>
          </w:p>
        </w:tc>
      </w:tr>
      <w:tr>
        <w:trPr>
          <w:tblHeader w:val="false"/>
        </w:trPr>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IONOS SE</w:t>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Montabaur, Deutschland</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Webhosting</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AVV Art. 28</w:t>
            </w:r>
          </w:p>
        </w:tc>
      </w:tr>
      <w:tr>
        <w:trPr>
          <w:tblHeader w:val="false"/>
        </w:trPr>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Supabase Inc.</w:t>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AWS eu-central-1, Frankfurt (EU)</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Backend, Datenbank, Authentifizierung, Edge Functions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DPA Art. 28; SOC 2 Type II</w:t>
            </w:r>
          </w:p>
        </w:tc>
      </w:tr>
      <w:tr>
        <w:trPr>
          <w:tblHeader w:val="false"/>
        </w:trPr>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Anthropic PBC</w:t>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USA</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KI-Dienst (Modell Claude) für Analysen / CoWorker Felix</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Kein Training auf Daten; SCC + EU-U.S. DPF; AVV Art. 28</w:t>
            </w:r>
          </w:p>
        </w:tc>
      </w:tr>
      <w:tr>
        <w:trPr>
          <w:tblHeader w:val="false"/>
        </w:trPr>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Stripe Payments Europe, Ltd.</w:t>
            </w:r>
          </w:p>
        </w:tc>
        <w:tc>
          <w:tcPr>
            <w:tcW w:type="dxa" w:w="21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Dublin, Irland (EU)</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Zahlungsabwicklung</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nur Tarife Business / Enterprise</w:t>
            </w:r>
          </w:p>
        </w:tc>
      </w:tr>
    </w:tbl>
    <w:p>
      <w:pPr>
        <w:spacing w:before="160"/>
      </w:pPr>
      <w:r>
        <w:rPr>
          <w:i/>
          <w:iCs/>
          <w:color w:val="888888"/>
          <w:sz w:val="18"/>
          <w:szCs w:val="18"/>
        </w:rPr>
        <w:t xml:space="preserve">Hinweis: Diese Vorlage dient als Ausgangspunkt und ersetzt keine Rechtsberatung. Vor Verwendung bitte an den konkreten Einzelfall anpassen und rechtlich prüfen lassen.</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6"/>
        <w:szCs w:val="16"/>
      </w:rPr>
      <w:t xml:space="preserve">Seite </w:t>
    </w:r>
    <w:r>
      <w:rPr>
        <w:color w:val="888888"/>
        <w:sz w:val="16"/>
        <w:szCs w:val="16"/>
      </w:rPr>
      <w:fldChar w:fldCharType="begin"/>
      <w:instrText xml:space="preserve">PAGE</w:instrText>
      <w:fldChar w:fldCharType="separate"/>
      <w:fldChar w:fldCharType="end"/>
    </w:r>
    <w:r>
      <w:rPr>
        <w:color w:val="888888"/>
        <w:sz w:val="16"/>
        <w:szCs w:val="16"/>
      </w:rPr>
      <w:t xml:space="preserve"> · Vorlage – rechtlich prüfen lassen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888"/>
        <w:sz w:val="16"/>
        <w:szCs w:val="16"/>
      </w:rPr>
      <w:t xml:space="preserve">AVV · Art. 28 DSGVO · AIGOY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abstractNum w:abstractNumId="3" w15:restartNumberingAfterBreak="0">
    <w:multiLevelType w:val="hybridMultilevel"/>
    <w:lvl w:ilvl="0" w15:tentative="1">
      <w:start w:val="1"/>
      <w:numFmt w:val="decimal"/>
      <w:lvlText w:val="(%1)"/>
      <w:lvlJc w:val="left"/>
      <w:pPr>
        <w:ind w:left="540" w:hanging="360"/>
      </w:pPr>
    </w:lvl>
  </w:abstractNum>
  <w:abstractNum w:abstractNumId="4"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60"/>
      <w:outlineLvl w:val="0"/>
    </w:pPr>
    <w:rPr>
      <w:rFonts w:ascii="Arial" w:cs="Arial" w:eastAsia="Arial" w:hAnsi="Arial"/>
      <w:b/>
      <w:bCs/>
      <w:color w:val="1A56DB"/>
      <w:sz w:val="26"/>
      <w:szCs w:val="26"/>
    </w:rPr>
  </w:style>
  <w:style w:type="paragraph" w:styleId="Heading2">
    <w:name w:val="Heading 2"/>
    <w:basedOn w:val="Normal"/>
    <w:next w:val="Normal"/>
    <w:qFormat/>
    <w:pPr>
      <w:spacing w:after="100" w:before="160"/>
      <w:outlineLvl w:val="1"/>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Auftragsverarbeitungsvertrag (AVV) gemäß Art. 28 DSGVO</dc:title>
  <dc:creator>AX1S / AIGOY</dc:creator>
  <cp:lastModifiedBy>Un-named</cp:lastModifiedBy>
  <cp:revision>1</cp:revision>
  <dcterms:created xsi:type="dcterms:W3CDTF">2026-05-31T15:21:05.922Z</dcterms:created>
  <dcterms:modified xsi:type="dcterms:W3CDTF">2026-05-31T15:21:05.923Z</dcterms:modified>
</cp:coreProperties>
</file>

<file path=docProps/custom.xml><?xml version="1.0" encoding="utf-8"?>
<Properties xmlns="http://schemas.openxmlformats.org/officeDocument/2006/custom-properties" xmlns:vt="http://schemas.openxmlformats.org/officeDocument/2006/docPropsVTypes"/>
</file>